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s34ynto5k87" w:id="0"/>
      <w:bookmarkEnd w:id="0"/>
      <w:r w:rsidDel="00000000" w:rsidR="00000000" w:rsidRPr="00000000">
        <w:rPr>
          <w:rtl w:val="0"/>
        </w:rPr>
        <w:t xml:space="preserve">Data Dictionary — Keyplay Core Fields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w2fvuyi2xb7x" w:id="1"/>
      <w:bookmarkEnd w:id="1"/>
      <w:r w:rsidDel="00000000" w:rsidR="00000000" w:rsidRPr="00000000">
        <w:rPr>
          <w:rtl w:val="0"/>
        </w:rPr>
        <w:t xml:space="preserve">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Core Keyplay enrichment fields exported for CRM upload + account analysis.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Grain:</w:t>
      </w:r>
      <w:r w:rsidDel="00000000" w:rsidR="00000000" w:rsidRPr="00000000">
        <w:rPr>
          <w:rtl w:val="0"/>
        </w:rPr>
        <w:t xml:space="preserve"> 1 row per CRM company record (multiple records may map to the same company via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Final Domain</w:t>
      </w:r>
      <w:r w:rsidDel="00000000" w:rsidR="00000000" w:rsidRPr="00000000">
        <w:rPr>
          <w:rtl w:val="0"/>
        </w:rPr>
        <w:t xml:space="preserve">).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Primary upload key: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CRM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n4zow7ad2lfx" w:id="2"/>
      <w:bookmarkEnd w:id="2"/>
      <w:r w:rsidDel="00000000" w:rsidR="00000000" w:rsidRPr="00000000">
        <w:rPr>
          <w:rtl w:val="0"/>
        </w:rPr>
        <w:t xml:space="preserve">Core Fields</w:t>
      </w:r>
    </w:p>
    <w:tbl>
      <w:tblPr>
        <w:tblStyle w:val="Table1"/>
        <w:tblW w:w="147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1905"/>
        <w:gridCol w:w="3495"/>
        <w:gridCol w:w="3495"/>
        <w:gridCol w:w="3495"/>
        <w:tblGridChange w:id="0">
          <w:tblGrid>
            <w:gridCol w:w="2385"/>
            <w:gridCol w:w="1905"/>
            <w:gridCol w:w="3495"/>
            <w:gridCol w:w="3495"/>
            <w:gridCol w:w="349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CRM 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0013z00002LZXQFAA5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Unique CRM record identifier used as the key for uploads.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Use this to map back into Salesforce.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Input Domain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 domain pulled from the CRM “Website” field (raw input domain).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May include redirects / non-canonical domains.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Acme Corp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Company name resolved via LinkedIn lookup.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Best-effort enrichment (source: LinkedIn)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Final Domain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acme.com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Canonical domain after following redirects to the final landing domain.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for deduping and consistent enrichment across CRM records.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Dupe?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boolean (0 / 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Flags whether this CRM record is a duplicate of another record that resolves to the same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Final Domain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  <w:t xml:space="preserve"> = primary record (chosen by revenue or alphabetical).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 = duplicate. All rows still get enriched. Deduping used to analysis and counting.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Market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Market classification for the company.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</w:t>
            </w:r>
            <w:r w:rsidDel="00000000" w:rsidR="00000000" w:rsidRPr="00000000">
              <w:rPr>
                <w:rtl w:val="0"/>
              </w:rPr>
              <w:t xml:space="preserve"> vs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Financial Services &amp; Fintech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Keyplay segment assigned to the company.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R500 Candidate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Boolean (TRUE / FALSE)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Indicates whether the company qualifies as a Redis 500 candidate.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Described as the only field computed via a specific logical rule.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Tier (Final AI Reviewed)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Final ICP tier after an AI review pass.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Tier (Keyplay Model)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Tier produced directly by the Keyplay scoring model.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Deterministic based on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Score (Model)</w:t>
            </w:r>
            <w:r w:rsidDel="00000000" w:rsidR="00000000" w:rsidRPr="00000000">
              <w:rPr>
                <w:rtl w:val="0"/>
              </w:rPr>
              <w:t xml:space="preserve"> for the best fit Market (digital or traditional)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Score (Model)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Numeric ICP fit score output by the Keyplay model.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Input used to compute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Tier (Keyplay Model)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ICP Fit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Long 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Large regulated financial enterprise (81k employees, ~12k engineers) with very high real-time dependency for payments/authorization and fraud detection, public-cloud deployments and active AI hiring — clear need for millisecond latency, geo‑replication, SLA/compliance support and platform consolidation; research gaps: current caching/datastore stack and PCI/regional certs.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Short explanation of why the company received its score/tier.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Intended to be rep-friendly CRM context (2–3 sentences).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rPr/>
      </w:pPr>
      <w:bookmarkStart w:colFirst="0" w:colLast="0" w:name="_w1g2cxirvjat" w:id="3"/>
      <w:bookmarkEnd w:id="3"/>
      <w:r w:rsidDel="00000000" w:rsidR="00000000" w:rsidRPr="00000000">
        <w:rPr>
          <w:rtl w:val="0"/>
        </w:rPr>
        <w:t xml:space="preserve">Key Relationships / Logic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Upload key: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CRM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Company canonical identifier (for grouping):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Final Domain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Deduping for analysis:</w:t>
      </w:r>
      <w:r w:rsidDel="00000000" w:rsidR="00000000" w:rsidRPr="00000000">
        <w:rPr>
          <w:rtl w:val="0"/>
        </w:rPr>
        <w:t xml:space="preserve"> Use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Dupe? = 0</w:t>
      </w:r>
      <w:r w:rsidDel="00000000" w:rsidR="00000000" w:rsidRPr="00000000">
        <w:rPr>
          <w:rtl w:val="0"/>
        </w:rPr>
        <w:t xml:space="preserve"> to avoid double counting across records that share a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Final Domain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Tiering logic flow: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ICP Score (Model)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ICP Tier (Keyplay Model)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ICP Tier (Final AI Reviewed)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 R500 Candidate</w:t>
      </w:r>
    </w:p>
    <w:p w:rsidR="00000000" w:rsidDel="00000000" w:rsidP="00000000" w:rsidRDefault="00000000" w:rsidRPr="00000000" w14:paraId="0000004F">
      <w:pPr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rPr/>
      </w:pPr>
      <w:bookmarkStart w:colFirst="0" w:colLast="0" w:name="_l8racdte3yfk" w:id="4"/>
      <w:bookmarkEnd w:id="4"/>
      <w:r w:rsidDel="00000000" w:rsidR="00000000" w:rsidRPr="00000000">
        <w:rPr>
          <w:rtl w:val="0"/>
        </w:rPr>
        <w:t xml:space="preserve">Data Dictionary — Additional Enrichments (Optional)</w:t>
      </w:r>
    </w:p>
    <w:p w:rsidR="00000000" w:rsidDel="00000000" w:rsidP="00000000" w:rsidRDefault="00000000" w:rsidRPr="00000000" w14:paraId="00000054">
      <w:pPr>
        <w:pStyle w:val="Heading2"/>
        <w:rPr/>
      </w:pPr>
      <w:bookmarkStart w:colFirst="0" w:colLast="0" w:name="_q0o536upxzea" w:id="5"/>
      <w:bookmarkEnd w:id="5"/>
      <w:r w:rsidDel="00000000" w:rsidR="00000000" w:rsidRPr="00000000">
        <w:rPr>
          <w:rtl w:val="0"/>
        </w:rPr>
        <w:t xml:space="preserve">Overview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Optional enrichment fields available in the export.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Primary use:</w:t>
      </w:r>
      <w:r w:rsidDel="00000000" w:rsidR="00000000" w:rsidRPr="00000000">
        <w:rPr>
          <w:rtl w:val="0"/>
        </w:rPr>
        <w:t xml:space="preserve"> These fields feed the </w:t>
      </w:r>
      <w:r w:rsidDel="00000000" w:rsidR="00000000" w:rsidRPr="00000000">
        <w:rPr>
          <w:b w:val="1"/>
          <w:bCs w:val="1"/>
          <w:rtl w:val="0"/>
        </w:rPr>
        <w:t xml:space="preserve">R500 Candidate (Final)</w:t>
      </w:r>
      <w:r w:rsidDel="00000000" w:rsidR="00000000" w:rsidRPr="00000000">
        <w:rPr>
          <w:rtl w:val="0"/>
        </w:rPr>
        <w:t xml:space="preserve"> calculation.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Note:</w:t>
      </w:r>
      <w:r w:rsidDel="00000000" w:rsidR="00000000" w:rsidRPr="00000000">
        <w:rPr>
          <w:rtl w:val="0"/>
        </w:rPr>
        <w:t xml:space="preserve"> Outside of the R500 candidate logic, these fields are </w:t>
      </w:r>
      <w:r w:rsidDel="00000000" w:rsidR="00000000" w:rsidRPr="00000000">
        <w:rPr>
          <w:b w:val="1"/>
          <w:bCs w:val="1"/>
          <w:rtl w:val="0"/>
        </w:rPr>
        <w:t xml:space="preserve">optional</w:t>
      </w:r>
      <w:r w:rsidDel="00000000" w:rsidR="00000000" w:rsidRPr="00000000">
        <w:rPr>
          <w:rtl w:val="0"/>
        </w:rPr>
        <w:t xml:space="preserve"> and used for deeper segmentation, filtering, and rep context.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rPr/>
      </w:pPr>
      <w:bookmarkStart w:colFirst="0" w:colLast="0" w:name="_n0iy2ujrvzh6" w:id="6"/>
      <w:bookmarkEnd w:id="6"/>
      <w:r w:rsidDel="00000000" w:rsidR="00000000" w:rsidRPr="00000000">
        <w:rPr>
          <w:rtl w:val="0"/>
        </w:rPr>
        <w:t xml:space="preserve">Additional Enrichment Fields</w:t>
      </w:r>
    </w:p>
    <w:tbl>
      <w:tblPr>
        <w:tblStyle w:val="Table2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Final LinkedIn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https://www.linkedin.com/company/microsoft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Canonical LinkedIn company profile URL used for enrichment.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Source anchor for several fields.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rPr/>
      </w:pPr>
      <w:bookmarkStart w:colFirst="0" w:colLast="0" w:name="_xieo24xdnnw3" w:id="7"/>
      <w:bookmarkEnd w:id="7"/>
      <w:r w:rsidDel="00000000" w:rsidR="00000000" w:rsidRPr="00000000">
        <w:rPr>
          <w:rtl w:val="0"/>
        </w:rPr>
        <w:t xml:space="preserve">Digital Native Model Outputs</w:t>
      </w:r>
    </w:p>
    <w:tbl>
      <w:tblPr>
        <w:tblStyle w:val="Table3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Fit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Overall fit score for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Digital Native</w:t>
            </w:r>
            <w:r w:rsidDel="00000000" w:rsidR="00000000" w:rsidRPr="00000000">
              <w:rPr>
                <w:rtl w:val="0"/>
              </w:rPr>
              <w:t xml:space="preserve"> ICP model.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Higher = better fit.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Most Similar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 / domain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stripe.com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Reference company the record is most similar to within Digital Native clustering.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for explainability.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Signal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Score contribution from signals (rules/attributes) for Digital Native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Component score.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Similarity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Score contribution from vector similarity / nearest neighbors for Digital Native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Component score.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Signals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Software &amp; Cloud Tech, Hiring, Using Public Cloud...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Human-readable list of signals detected for Digital Native evaluation.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in R500 logic + debugging.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 (A/B/C/D)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Tier bucket for Digital Native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Derived from Digital Native scores.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rPr/>
      </w:pPr>
      <w:bookmarkStart w:colFirst="0" w:colLast="0" w:name="_ygfvajmh5ksk" w:id="8"/>
      <w:bookmarkEnd w:id="8"/>
      <w:r w:rsidDel="00000000" w:rsidR="00000000" w:rsidRPr="00000000">
        <w:rPr>
          <w:rtl w:val="0"/>
        </w:rPr>
        <w:t xml:space="preserve">Traditional Enterprise Model Outputs</w:t>
      </w:r>
    </w:p>
    <w:tbl>
      <w:tblPr>
        <w:tblStyle w:val="Table4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Fit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Overall fit score for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Traditional Enterprise</w:t>
            </w:r>
            <w:r w:rsidDel="00000000" w:rsidR="00000000" w:rsidRPr="00000000">
              <w:rPr>
                <w:rtl w:val="0"/>
              </w:rPr>
              <w:t xml:space="preserve"> ICP model.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Higher = better fit.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Most Similar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 / domain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apple.com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Reference company the record is most similar to within Traditional Enterprise clustering.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for explainability.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Signal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Score contribution from signals for Traditional Enterprise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Component score.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Similarity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Score contribution from similarity for Traditional Enterprise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Component score.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Signals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Employees 5001+, Traffic Rank Top 100K...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Human-readable list of detected signals for Traditional Enterprise evaluation.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in R500 logic + debugging.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 (A/B/C/D)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Tier bucket for Traditional Enterprise fit.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Derived from Traditional Enterprise scores.</w:t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rPr/>
      </w:pPr>
      <w:bookmarkStart w:colFirst="0" w:colLast="0" w:name="_9vxn55q1vr1x" w:id="9"/>
      <w:bookmarkEnd w:id="9"/>
      <w:r w:rsidDel="00000000" w:rsidR="00000000" w:rsidRPr="00000000">
        <w:rPr>
          <w:rtl w:val="0"/>
        </w:rPr>
        <w:t xml:space="preserve">Intent Model Outputs</w:t>
      </w:r>
    </w:p>
    <w:tbl>
      <w:tblPr>
        <w:tblStyle w:val="Table5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Intent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 (A/B/C/D/none)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Bucketed intent strength for near-term buying signals.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  <w:t xml:space="preserve"> means no intent detected.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Intent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(0–100)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Numeric intent score.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Often 0 for “no intent.”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Intent Signals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Jobs mention Real-Time, Hiring spike...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Detected intent-related signals that contribute to the score.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in R500 calc when present.</w:t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rPr/>
      </w:pPr>
      <w:bookmarkStart w:colFirst="0" w:colLast="0" w:name="_ldiwpuhqeaq8" w:id="10"/>
      <w:bookmarkEnd w:id="10"/>
      <w:r w:rsidDel="00000000" w:rsidR="00000000" w:rsidRPr="00000000">
        <w:rPr>
          <w:rtl w:val="0"/>
        </w:rPr>
        <w:t xml:space="preserve">Company Profile &amp; Categorization</w:t>
      </w:r>
    </w:p>
    <w:tbl>
      <w:tblPr>
        <w:tblStyle w:val="Table6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Business Overview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Multifaceted business model...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Short company description / summary.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 context + model explainability.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Primary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Media &amp; Entertainment, SaaS &amp; 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Primary industry/category tags.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Category taxonomy is Keyplay-defined.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Secondary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Collaboration &amp; Productivity...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Additional product/industry categories.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for filtering and segmentation.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B2B, B2C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Primary go-to-market audience.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Often multiple.</w:t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2"/>
        <w:rPr/>
      </w:pPr>
      <w:bookmarkStart w:colFirst="0" w:colLast="0" w:name="_a298bs6a9aen" w:id="11"/>
      <w:bookmarkEnd w:id="11"/>
      <w:r w:rsidDel="00000000" w:rsidR="00000000" w:rsidRPr="00000000">
        <w:rPr>
          <w:rtl w:val="0"/>
        </w:rPr>
        <w:t xml:space="preserve">Company Size, Growth, Hiring</w:t>
      </w:r>
    </w:p>
    <w:tbl>
      <w:tblPr>
        <w:tblStyle w:val="Table7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Employees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225865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Estimated employee count.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Typically from LinkedIn or similar sources.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Year Founded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(YYYY)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1975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Company founding year.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for maturity heuristics.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Headcount Growth (6 mo)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(ratio/%)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-0.05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Headcount growth over the last 6 months.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Negative indicates shrinkage.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Headcount Growth (1 mo)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(ratio/%)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Headcount growth over the last month.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Short-term momentum signal.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Hiring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2464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Count of open roles or hiring signal volume.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Interpret based on your data source.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Open Roles / Total Headcount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(ratio)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Open roles divided by employee count.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Hiring intensity proxy.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Recruiting Velocity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21.82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Composite score for hiring velocity.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as a normalized hiring metric.</w:t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Style w:val="Heading2"/>
        <w:rPr/>
      </w:pPr>
      <w:bookmarkStart w:colFirst="0" w:colLast="0" w:name="_fvnpm44aqwbi" w:id="12"/>
      <w:bookmarkEnd w:id="12"/>
      <w:r w:rsidDel="00000000" w:rsidR="00000000" w:rsidRPr="00000000">
        <w:rPr>
          <w:rtl w:val="0"/>
        </w:rPr>
        <w:t xml:space="preserve">Traffic &amp; Social Signals</w:t>
      </w:r>
    </w:p>
    <w:tbl>
      <w:tblPr>
        <w:tblStyle w:val="Table8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Traffic Rank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Website traffic rank bucket/value.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Lower often implies higher traffic (depends on source).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Follower 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27062289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LinkedIn follower count.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Company popularity / reach.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Follower Change (6 mo)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(ratio/%)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Change in followers over the last 6 months.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Growth signal.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Follower Change (1 mo)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(ratio/%)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Change in followers over the last month.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Short-term growth signal.</w:t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Style w:val="Heading2"/>
        <w:rPr/>
      </w:pPr>
      <w:bookmarkStart w:colFirst="0" w:colLast="0" w:name="_jp74wyghmuaf" w:id="13"/>
      <w:bookmarkEnd w:id="13"/>
      <w:r w:rsidDel="00000000" w:rsidR="00000000" w:rsidRPr="00000000">
        <w:rPr>
          <w:rtl w:val="0"/>
        </w:rPr>
        <w:t xml:space="preserve">Public Company Info</w:t>
      </w:r>
    </w:p>
    <w:tbl>
      <w:tblPr>
        <w:tblStyle w:val="Table9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Stock Ticker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NASDAQ:MSFT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Public market ticker identifier.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Optional; only populated when applicable.</w:t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2"/>
        <w:rPr/>
      </w:pPr>
      <w:bookmarkStart w:colFirst="0" w:colLast="0" w:name="_rb88040hlt8" w:id="14"/>
      <w:bookmarkEnd w:id="14"/>
      <w:r w:rsidDel="00000000" w:rsidR="00000000" w:rsidRPr="00000000">
        <w:rPr>
          <w:rtl w:val="0"/>
        </w:rPr>
        <w:t xml:space="preserve">Headquarters &amp; Locations</w:t>
      </w:r>
    </w:p>
    <w:tbl>
      <w:tblPr>
        <w:tblStyle w:val="Table10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HQ 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HQ country.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ISO-like shorthand is common.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HQ 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Redmond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HQ city.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HQ 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Washington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HQ state/region.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US-specific field when applicable.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HQ Postal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98052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HQ postal code.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Optional.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Location Cities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Bratislava, Reading, Singapore...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Cities where the company has locations.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 include noisy/unicode entries.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Location States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Ontario, Dublin, Tokyo...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States/regions where the company has locations.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Source-dependent formatting.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Location Countries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 (text list)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US, CA, GB...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Countries where the company has locations.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Useful for geo filtering.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Location 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Count of distinct locations detected.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Proxy for global footprint.</w:t>
            </w:r>
          </w:p>
        </w:tc>
      </w:tr>
    </w:tbl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Style w:val="Heading2"/>
        <w:rPr/>
      </w:pPr>
      <w:bookmarkStart w:colFirst="0" w:colLast="0" w:name="_bta0ard0yd03" w:id="15"/>
      <w:bookmarkEnd w:id="15"/>
      <w:r w:rsidDel="00000000" w:rsidR="00000000" w:rsidRPr="00000000">
        <w:rPr>
          <w:rtl w:val="0"/>
        </w:rPr>
        <w:t xml:space="preserve">Funding</w:t>
      </w:r>
    </w:p>
    <w:tbl>
      <w:tblPr>
        <w:tblStyle w:val="Table11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Total Funding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1000000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 funding raised (if known).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May be blank for public/bootstrapped firms.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Last Funding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12/9/22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of most recent funding round.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Format may vary by export settings.</w:t>
            </w:r>
          </w:p>
        </w:tc>
      </w:tr>
    </w:tbl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Style w:val="Heading2"/>
        <w:rPr/>
      </w:pPr>
      <w:bookmarkStart w:colFirst="0" w:colLast="0" w:name="_4wk4m8tvp4s9" w:id="16"/>
      <w:bookmarkEnd w:id="16"/>
      <w:r w:rsidDel="00000000" w:rsidR="00000000" w:rsidRPr="00000000">
        <w:rPr>
          <w:rtl w:val="0"/>
        </w:rPr>
        <w:t xml:space="preserve">Internal Flags &amp; CRM Metadata</w:t>
      </w:r>
    </w:p>
    <w:tbl>
      <w:tblPr>
        <w:tblStyle w:val="Table12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Tags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jc w:val="lef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(blank)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Freeform tags associated with the company.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Optional annotation layer.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Processing/status flag for the enrichment output.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Useful for QA.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 SAM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boolean (yes/no)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Indicates whether the account is in the Serviceable Available Market.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gating filter before ICP.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In CRM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boolean (yes/no)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Indicates whether the company already exists in CRM.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Useful for backfills.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Account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Where the account record originated.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Example: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CRM</w:t>
            </w:r>
            <w:r w:rsidDel="00000000" w:rsidR="00000000" w:rsidRPr="00000000">
              <w:rPr>
                <w:rtl w:val="0"/>
              </w:rPr>
              <w:t xml:space="preserve">, imports, etc.</w:t>
            </w:r>
          </w:p>
        </w:tc>
      </w:tr>
    </w:tbl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Style w:val="Heading2"/>
        <w:rPr/>
      </w:pPr>
      <w:bookmarkStart w:colFirst="0" w:colLast="0" w:name="_5do9u0eng6qj" w:id="17"/>
      <w:bookmarkEnd w:id="17"/>
      <w:r w:rsidDel="00000000" w:rsidR="00000000" w:rsidRPr="00000000">
        <w:rPr>
          <w:rtl w:val="0"/>
        </w:rPr>
        <w:t xml:space="preserve">Assets &amp; Links</w:t>
      </w:r>
    </w:p>
    <w:tbl>
      <w:tblPr>
        <w:tblStyle w:val="Table13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Logo Url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https://media.licdn.com/...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Company logo URL (often LinkedIn-hosted).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Useful for UI/display.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Job Board URL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https://www.linkedin.com/company/microsoft/jobs/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Primary jobs page link.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Hiring validation + sales trigger.</w:t>
            </w:r>
          </w:p>
        </w:tc>
      </w:tr>
    </w:tbl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Style w:val="Heading2"/>
        <w:rPr/>
      </w:pPr>
      <w:bookmarkStart w:colFirst="0" w:colLast="0" w:name="_2vur0uk8uext" w:id="18"/>
      <w:bookmarkEnd w:id="18"/>
      <w:r w:rsidDel="00000000" w:rsidR="00000000" w:rsidRPr="00000000">
        <w:rPr>
          <w:rtl w:val="0"/>
        </w:rPr>
        <w:t xml:space="preserve">AI-Derived Categorization Fields (with reasoning)</w:t>
      </w:r>
    </w:p>
    <w:tbl>
      <w:tblPr>
        <w:tblStyle w:val="Table14"/>
        <w:tblW w:w="17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vs Traditional (Category)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Traditional Enterprise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AI classification of company as digital native vs traditional.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Used in segmentation and R500 logic.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Digital Native vs Traditional (Category)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Founded in 1975...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the category assignment.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 + audit trail.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Key Segments (Category)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Software &amp; Cloud Tech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AI classification into a key segment category.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Higher-level version of 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Key Segments (Category)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Primarily develops software...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segment assignment.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Auditability.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Software Engineers (Team Size)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single select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50+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Estimated engineering team size bucket.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Bucketed, not exact.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Software Engineers (Team Size)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Found 115,740...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the team-size estimate.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Useful for trust/debugging.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AI-Native (Boolean)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boolean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FALSE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Whether AI is foundational to the business model.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 “uses AI” — “built on AI.”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AI-Native (Boolean)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Predates AI era...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AI-native assignment.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Auditability.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Engineering Ideology (Rating)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rating (1–10)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Qualitative score for engineering philosophy/approach.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Interpretable heuristic score.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Engineering Ideology (Rating)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Balances proprietary builds...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ideology rating.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Real-Time Data Dependency (Rating)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rating (1–10)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Degree to which the company depends on real-time data.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Strong R500 signal.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Real-Time Data Dependency (Rating) Reasoning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jc w:val="left"/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Critically depend on...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for real-time dependency rating.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